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2043131176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44260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76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3.7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5. Manufatti in legno</w:t>
      </w:r>
    </w:p>
    <w:p>
      <w:pPr>
        <w:pStyle w:val="Textbody"/>
        <w:spacing w:lineRule="auto" w:line="276" w:before="0" w:after="0"/>
        <w:rPr/>
      </w:pPr>
      <w:r>
        <w:rPr/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3260"/>
        <w:gridCol w:w="3544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282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Senza cornice o base: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48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  □ sì, fino al                                                                 </w:t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25"/>
        <w:gridCol w:w="992"/>
        <w:gridCol w:w="4033"/>
        <w:gridCol w:w="785"/>
      </w:tblGrid>
      <w:tr>
        <w:trPr>
          <w:trHeight w:val="197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344" w:hRule="atLeast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strutturali/ Danni al supporto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superficiali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                    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Integrazioni/ Rifacimenti / Ridipinture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di insetti o animali</w:t>
            </w:r>
            <w:r>
              <w:rPr>
                <w:rFonts w:cs="Times New Roman"/>
              </w:rPr>
              <w:t xml:space="preserve">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Attacchi microbiologici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576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localizzazione/ note: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67"/>
        <w:gridCol w:w="4677"/>
      </w:tblGrid>
      <w:tr>
        <w:trPr/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UR %                 Lux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                              UR %   50-65                                   Lux   ≤ 150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104"/>
      </w:tblGrid>
      <w:tr>
        <w:trPr>
          <w:trHeight w:val="450" w:hRule="exact"/>
        </w:trPr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699" w:hRule="exac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096"/>
      </w:tblGrid>
      <w:tr>
        <w:trPr>
          <w:trHeight w:val="420" w:hRule="atLeast"/>
        </w:trPr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ottotitol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   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Illuminazione naturale: □ sì     □ no                  Schermatura: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  <w:bookmarkStart w:id="3" w:name="_GoBack"/>
            <w:bookmarkEnd w:id="3"/>
          </w:p>
        </w:tc>
      </w:tr>
    </w:tbl>
    <w:p>
      <w:pPr>
        <w:pStyle w:val="Normal"/>
        <w:spacing w:lineRule="auto" w:line="276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>7.2 SCANSIONE 3D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□ no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40"/>
        <w:gridCol w:w="7796"/>
      </w:tblGrid>
      <w:tr>
        <w:trPr/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 Data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84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LibreOffice/6.0.6.2$Windows_X86_64 LibreOffice_project/0c292870b25a325b5ed35f6b45599d2ea4458e77</Application>
  <Pages>3</Pages>
  <Words>433</Words>
  <Characters>2588</Characters>
  <CharactersWithSpaces>3803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2018-06-04T07:09:00Z</dcterms:created>
  <dc:creator>Spezzaferro Livia</dc:creator>
  <dc:description/>
  <dc:language>it-IT</dc:language>
  <cp:lastModifiedBy/>
  <cp:lastPrinted>2017-03-28T12:51:00Z</cp:lastPrinted>
  <dcterms:modified xsi:type="dcterms:W3CDTF">2021-03-15T18:04:29Z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